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8701" w14:textId="690C067B" w:rsidR="007E5984" w:rsidRDefault="001A4FF9" w:rsidP="007E5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bibliográficas:</w:t>
      </w:r>
      <w:r w:rsidR="00730DB4">
        <w:rPr>
          <w:rFonts w:ascii="Arial" w:hAnsi="Arial" w:cs="Arial"/>
          <w:b/>
        </w:rPr>
        <w:t xml:space="preserve"> Doutorado</w:t>
      </w:r>
      <w:r w:rsidR="0028547F">
        <w:rPr>
          <w:rFonts w:ascii="Arial" w:hAnsi="Arial" w:cs="Arial"/>
          <w:b/>
        </w:rPr>
        <w:t xml:space="preserve"> em Ciências da Saúde</w:t>
      </w:r>
    </w:p>
    <w:p w14:paraId="7C6204C1" w14:textId="77777777" w:rsidR="00F1503D" w:rsidRDefault="00F1503D" w:rsidP="001A4FF9">
      <w:pPr>
        <w:spacing w:line="360" w:lineRule="auto"/>
      </w:pPr>
    </w:p>
    <w:tbl>
      <w:tblPr>
        <w:tblStyle w:val="TabeladeGradeClara1"/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782"/>
      </w:tblGrid>
      <w:tr w:rsidR="00F1503D" w:rsidRPr="001A4FF9" w14:paraId="6D11222D" w14:textId="77777777" w:rsidTr="00F1503D">
        <w:trPr>
          <w:trHeight w:val="473"/>
        </w:trPr>
        <w:tc>
          <w:tcPr>
            <w:tcW w:w="9782" w:type="dxa"/>
          </w:tcPr>
          <w:p w14:paraId="575D66AF" w14:textId="77777777" w:rsidR="00F1503D" w:rsidRPr="001A4FF9" w:rsidRDefault="001A4FF9" w:rsidP="001A4F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t xml:space="preserve">Área de concentração: Promoção, Prevenção e Tratamento em Saúde </w:t>
            </w:r>
          </w:p>
          <w:p w14:paraId="35392A1B" w14:textId="77777777" w:rsidR="001A4FF9" w:rsidRPr="001A4FF9" w:rsidRDefault="001A4FF9" w:rsidP="001A4F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0E0F" w:rsidRPr="001A4FF9" w14:paraId="5BBB5FA2" w14:textId="77777777" w:rsidTr="00804932">
        <w:trPr>
          <w:trHeight w:val="5705"/>
        </w:trPr>
        <w:tc>
          <w:tcPr>
            <w:tcW w:w="9782" w:type="dxa"/>
            <w:hideMark/>
          </w:tcPr>
          <w:p w14:paraId="4559066B" w14:textId="77777777" w:rsidR="001A4FF9" w:rsidRPr="0028547F" w:rsidRDefault="001A4FF9" w:rsidP="001A4FF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8547F">
              <w:rPr>
                <w:rFonts w:ascii="Arial" w:hAnsi="Arial" w:cs="Arial"/>
                <w:b/>
              </w:rPr>
              <w:t>Linhas de Pesquisa</w:t>
            </w:r>
          </w:p>
          <w:p w14:paraId="03580A45" w14:textId="4C373529" w:rsidR="001A4FF9" w:rsidRPr="0028547F" w:rsidRDefault="001A4FF9" w:rsidP="004C0E0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47F">
              <w:rPr>
                <w:rFonts w:ascii="Arial" w:hAnsi="Arial" w:cs="Arial"/>
                <w:b/>
                <w:sz w:val="22"/>
                <w:szCs w:val="22"/>
              </w:rPr>
              <w:t>Ciê</w:t>
            </w:r>
            <w:r w:rsidR="0028547F" w:rsidRPr="0028547F">
              <w:rPr>
                <w:rFonts w:ascii="Arial" w:hAnsi="Arial" w:cs="Arial"/>
                <w:b/>
                <w:sz w:val="22"/>
                <w:szCs w:val="22"/>
              </w:rPr>
              <w:t>ncias ambientais na saúd</w:t>
            </w:r>
            <w:r w:rsidRPr="0028547F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</w:p>
          <w:p w14:paraId="638EB2E9" w14:textId="77777777" w:rsidR="004C0E0F" w:rsidRPr="0028547F" w:rsidRDefault="001A4FF9" w:rsidP="001A4FF9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47F">
              <w:rPr>
                <w:rFonts w:ascii="Arial" w:hAnsi="Arial" w:cs="Arial"/>
                <w:b/>
                <w:sz w:val="22"/>
                <w:szCs w:val="22"/>
              </w:rPr>
              <w:t>Abordagem biológica, clínica e molecular em condições de saúde-doença</w:t>
            </w:r>
          </w:p>
          <w:p w14:paraId="7472772C" w14:textId="77777777" w:rsidR="004C0E0F" w:rsidRPr="0028547F" w:rsidRDefault="001A4FF9" w:rsidP="004C0E0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47F">
              <w:rPr>
                <w:rFonts w:ascii="Arial" w:hAnsi="Arial" w:cs="Arial"/>
                <w:b/>
                <w:sz w:val="22"/>
                <w:szCs w:val="22"/>
              </w:rPr>
              <w:t>Epidemiologia e clínica na saúde humana</w:t>
            </w:r>
          </w:p>
          <w:p w14:paraId="6652CDB7" w14:textId="77777777" w:rsidR="004C0E0F" w:rsidRPr="0028547F" w:rsidRDefault="004C0E0F" w:rsidP="006C3E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22D084" w14:textId="77777777" w:rsidR="004C0E0F" w:rsidRPr="0028547F" w:rsidRDefault="004C0E0F" w:rsidP="006C3E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A63F5B" w14:textId="77777777" w:rsidR="005F1E50" w:rsidRPr="0028547F" w:rsidRDefault="005F1E50" w:rsidP="005F1E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D95303" w14:textId="77777777" w:rsidR="005F1E50" w:rsidRPr="0028547F" w:rsidRDefault="005F1E50" w:rsidP="005F1E50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Santosh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AB, Jones T, Harvey J. A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review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on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oral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cancer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biomarkers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: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Understanding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the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past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and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learning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from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the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present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J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Cancer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Res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Ther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2016 Apr-Jun;12(2):486-92.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: 10.4103/0973-1482.176414. PMID: 27461598.</w:t>
            </w:r>
          </w:p>
          <w:p w14:paraId="65526278" w14:textId="77777777" w:rsidR="005F1E50" w:rsidRPr="0028547F" w:rsidRDefault="005F1E50" w:rsidP="005F1E50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Cavalli G,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Heard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E.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Advances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in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epigenetics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link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genetics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to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the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environment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and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disease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Nature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2019 Jul;571(7766):489-499.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: 10.1038/s41586-019-1411-0.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Epub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2019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Jul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24. PMID: 31341302.</w:t>
            </w:r>
          </w:p>
          <w:p w14:paraId="24988145" w14:textId="77777777" w:rsidR="005F1E50" w:rsidRPr="0028547F" w:rsidRDefault="005F1E50" w:rsidP="005F1E50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Pérez IA, García MÁ, Sánchez ML, Pardo N, Fernández-Duque B. Key Points in Air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Pollution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Meteorology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Int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J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Environ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Res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Public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Health. 2020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Nov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11;17(22):8349.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: 10.3390/ijerph17228349. PMID: 33187359; PMCID: PMC7697832.</w:t>
            </w:r>
          </w:p>
          <w:p w14:paraId="70107000" w14:textId="77777777" w:rsidR="005F1E50" w:rsidRPr="0028547F" w:rsidRDefault="005F1E50" w:rsidP="005F1E50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7F">
              <w:rPr>
                <w:rFonts w:ascii="Arial" w:hAnsi="Arial" w:cs="Arial"/>
                <w:sz w:val="22"/>
                <w:szCs w:val="22"/>
              </w:rPr>
              <w:t>Lima LJ; Junior JFL; Luna YHDM; Luna GCDG. Desenvolvimento sustentável, sustentabilidade e saúde: uma revisão. Revista Ciência e Sustentabilidade. 2018; v.4, n.2, p.133-150.</w:t>
            </w:r>
          </w:p>
          <w:p w14:paraId="41A5B107" w14:textId="3040F83A" w:rsidR="005F1E50" w:rsidRPr="0028547F" w:rsidRDefault="005F1E50" w:rsidP="005F1E50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Kelly MP,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Heath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I,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Howick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J, Greenhalgh T. The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importance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values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in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evidence-based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medicine. BMC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Med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Ethics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2015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Oct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12;16(1):69.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: 10.1186/s12910-015-0063-3. PMID: 26459219; PMCID: PMC4603687.</w:t>
            </w:r>
          </w:p>
          <w:p w14:paraId="477F975F" w14:textId="7D3F0E9B" w:rsidR="00BC5B19" w:rsidRPr="0028547F" w:rsidRDefault="00BC5B19" w:rsidP="00BC5B19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Khan M,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Adil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SF,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Alkhathlan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HZ,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Tahir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MN,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Saif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S, Khan M, Khan ST. COVID-19: A Global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Challenge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with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Old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History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Epidemiology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and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Progress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So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Far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Molecules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2020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Dec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23;26(1):39. </w:t>
            </w:r>
            <w:proofErr w:type="spellStart"/>
            <w:proofErr w:type="gram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: 10.3390/molecules26010039. PMID: 33374759; PMCID: PMC7795815.</w:t>
            </w:r>
          </w:p>
          <w:p w14:paraId="0C852B4B" w14:textId="77777777" w:rsidR="005F1E50" w:rsidRPr="0028547F" w:rsidRDefault="005F1E50" w:rsidP="005F1E5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DA963D" w14:textId="77777777" w:rsidR="004C0E0F" w:rsidRPr="0028547F" w:rsidRDefault="004C0E0F" w:rsidP="005F1E50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7FF6B1" w14:textId="77777777" w:rsidR="001A4FF9" w:rsidRPr="0028547F" w:rsidRDefault="001A4FF9" w:rsidP="001A4F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27B3B9" w14:textId="77777777" w:rsidR="001A4FF9" w:rsidRPr="0028547F" w:rsidRDefault="001A4FF9" w:rsidP="001A4F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26AEB9" w14:textId="77777777" w:rsidR="001A4FF9" w:rsidRPr="0028547F" w:rsidRDefault="001A4FF9" w:rsidP="001A4F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09EC69" w14:textId="77777777" w:rsidR="001A4FF9" w:rsidRPr="0028547F" w:rsidRDefault="001A4FF9" w:rsidP="001A4F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BF6611" w14:textId="77777777" w:rsidR="001A4FF9" w:rsidRPr="0028547F" w:rsidRDefault="001A4FF9" w:rsidP="001A4F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E50B24D" w14:textId="77777777" w:rsidR="00F1503D" w:rsidRDefault="00F1503D"/>
    <w:p w14:paraId="38D515C1" w14:textId="77777777" w:rsidR="005F1E50" w:rsidRDefault="005F1E50"/>
    <w:p w14:paraId="61B06886" w14:textId="5C0689F6" w:rsidR="006205BE" w:rsidRDefault="006205BE"/>
    <w:p w14:paraId="01E781AE" w14:textId="77777777" w:rsidR="0028547F" w:rsidRDefault="0028547F"/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5F1E50" w:rsidRPr="00F1503D" w14:paraId="1F6C72A0" w14:textId="77777777" w:rsidTr="001F49A0">
        <w:tc>
          <w:tcPr>
            <w:tcW w:w="9782" w:type="dxa"/>
          </w:tcPr>
          <w:p w14:paraId="47A6CD99" w14:textId="77777777" w:rsidR="005F1E50" w:rsidRPr="001A4FF9" w:rsidRDefault="005F1E50" w:rsidP="001F49A0">
            <w:pPr>
              <w:jc w:val="center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lastRenderedPageBreak/>
              <w:t>Área de Concentração: Clínica Odontológica</w:t>
            </w:r>
          </w:p>
          <w:p w14:paraId="652A3627" w14:textId="77777777" w:rsidR="005F1E50" w:rsidRPr="001A4FF9" w:rsidRDefault="005F1E50" w:rsidP="001F49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1E50" w:rsidRPr="00F1503D" w14:paraId="43FD1458" w14:textId="77777777" w:rsidTr="001F49A0">
        <w:trPr>
          <w:trHeight w:val="3086"/>
        </w:trPr>
        <w:tc>
          <w:tcPr>
            <w:tcW w:w="9782" w:type="dxa"/>
          </w:tcPr>
          <w:p w14:paraId="1E7632A7" w14:textId="77777777" w:rsidR="005F1E50" w:rsidRPr="001A4FF9" w:rsidRDefault="005F1E50" w:rsidP="001F49A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t>Linhas de Pesquisa</w:t>
            </w:r>
          </w:p>
          <w:p w14:paraId="3781F1EE" w14:textId="77777777" w:rsidR="005F1E50" w:rsidRDefault="005F1E50" w:rsidP="001F49A0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B1952" w14:textId="77777777" w:rsidR="005F1E50" w:rsidRPr="00D35C69" w:rsidRDefault="005F1E50" w:rsidP="00D35C6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D35C69">
              <w:rPr>
                <w:rFonts w:ascii="Arial" w:hAnsi="Arial" w:cs="Arial"/>
                <w:b/>
              </w:rPr>
              <w:t>Diagnóstico e terapias reabilitadoras e preventivas para alterações nos tecidos dentais</w:t>
            </w:r>
          </w:p>
          <w:p w14:paraId="03771AD0" w14:textId="77777777" w:rsidR="005F1E50" w:rsidRPr="001A4FF9" w:rsidRDefault="005F1E50" w:rsidP="00D35C69">
            <w:pPr>
              <w:jc w:val="both"/>
              <w:rPr>
                <w:rFonts w:ascii="Arial" w:hAnsi="Arial" w:cs="Arial"/>
                <w:b/>
              </w:rPr>
            </w:pPr>
          </w:p>
          <w:p w14:paraId="0B4C3DA3" w14:textId="77777777" w:rsidR="005F1E50" w:rsidRPr="00D35C69" w:rsidRDefault="005F1E50" w:rsidP="00D35C6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D35C69">
              <w:rPr>
                <w:rFonts w:ascii="Arial" w:hAnsi="Arial" w:cs="Arial"/>
                <w:b/>
              </w:rPr>
              <w:t xml:space="preserve">Propriedades, técnicas e performance de materiais em odontologia </w:t>
            </w:r>
          </w:p>
          <w:p w14:paraId="06E53FCE" w14:textId="77777777" w:rsidR="005F1E50" w:rsidRPr="001A4FF9" w:rsidRDefault="005F1E50" w:rsidP="00D35C69">
            <w:pPr>
              <w:jc w:val="both"/>
              <w:rPr>
                <w:rFonts w:ascii="Arial" w:hAnsi="Arial" w:cs="Arial"/>
                <w:b/>
              </w:rPr>
            </w:pPr>
          </w:p>
          <w:p w14:paraId="23CD6E0C" w14:textId="77777777" w:rsidR="005F1E50" w:rsidRPr="00D35C69" w:rsidRDefault="005F1E50" w:rsidP="00D35C6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D35C69">
              <w:rPr>
                <w:rFonts w:ascii="Arial" w:hAnsi="Arial" w:cs="Arial"/>
                <w:b/>
              </w:rPr>
              <w:t>Diagnóstico e tratamento das doenças bucais</w:t>
            </w:r>
          </w:p>
          <w:p w14:paraId="1B037C48" w14:textId="77777777" w:rsidR="005F1E50" w:rsidRPr="001A4FF9" w:rsidRDefault="005F1E50" w:rsidP="001F49A0">
            <w:pPr>
              <w:jc w:val="both"/>
              <w:rPr>
                <w:rFonts w:ascii="Arial" w:hAnsi="Arial" w:cs="Arial"/>
              </w:rPr>
            </w:pPr>
          </w:p>
          <w:p w14:paraId="5452AA4B" w14:textId="77777777" w:rsidR="005F1E50" w:rsidRPr="001A4FF9" w:rsidRDefault="005F1E50" w:rsidP="001F49A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2E17F8" w14:textId="77777777" w:rsidR="005F1E50" w:rsidRPr="0028547F" w:rsidRDefault="005F1E50" w:rsidP="00D35C6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Clarin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A, Ho D,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Soong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J,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Looi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C,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Ipe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DS,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Tadakamadla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SK. The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Antibacterial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and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Remineralizing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Effects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Biomaterials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Combined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with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DMAHDM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Nanocomposite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: A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Systematic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Review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Materials</w:t>
            </w:r>
            <w:proofErr w:type="spell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(Basel). 2021 Mar 30;14(7):1688. </w:t>
            </w:r>
            <w:proofErr w:type="spellStart"/>
            <w:proofErr w:type="gramStart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 w:rsidRPr="0028547F">
              <w:rPr>
                <w:rFonts w:ascii="Segoe UI" w:hAnsi="Segoe UI" w:cs="Segoe UI"/>
                <w:color w:val="212121"/>
                <w:shd w:val="clear" w:color="auto" w:fill="FFFFFF"/>
              </w:rPr>
              <w:t>: 10.3390/ma14071688. PMID: 33808198; PMCID: PMC8037094.</w:t>
            </w:r>
          </w:p>
          <w:p w14:paraId="117AE7B9" w14:textId="77777777" w:rsidR="005F1E50" w:rsidRPr="00990E8C" w:rsidRDefault="005F1E50" w:rsidP="00D35C6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Strazzi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Sahyon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HB,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Chimanski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Yoshimura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HN, Dos Santos PH.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Effect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previous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photoactivation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adhesive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system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on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color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stability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and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mechanical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properties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resin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components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ceramic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laminate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veneer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luting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J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Prosthet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Dent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. 2018 Oct;120(4</w:t>
            </w:r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):631.e</w:t>
            </w:r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1-631.e6. </w:t>
            </w:r>
            <w:proofErr w:type="spellStart"/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: 10.1016/j.prosdent.2018.06.014. PMID: 30314611.</w:t>
            </w:r>
          </w:p>
          <w:p w14:paraId="33185DD4" w14:textId="77777777" w:rsidR="005F1E50" w:rsidRPr="00990E8C" w:rsidRDefault="005F1E50" w:rsidP="00D35C6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Kustrzycka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D,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Marschang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T,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Mikulewicz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M,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Grzebieluch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W.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Comparison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the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Accuracy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3D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Images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Obtained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fromDifferent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Types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of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Scanners: A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Systematic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Review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J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Healthc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Eng. 2020 </w:t>
            </w:r>
            <w:proofErr w:type="spell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Dec</w:t>
            </w:r>
            <w:proofErr w:type="spell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14;2020:8854204</w:t>
            </w:r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doi</w:t>
            </w:r>
            <w:proofErr w:type="spellEnd"/>
            <w:proofErr w:type="gramEnd"/>
            <w:r>
              <w:rPr>
                <w:rFonts w:ascii="Segoe UI" w:hAnsi="Segoe UI" w:cs="Segoe UI"/>
                <w:color w:val="212121"/>
                <w:shd w:val="clear" w:color="auto" w:fill="FFFFFF"/>
              </w:rPr>
              <w:t>: 10.1155/2020/8854204. PMID: 33414902; PMCID: PMC7752290.</w:t>
            </w:r>
          </w:p>
          <w:p w14:paraId="15CC8350" w14:textId="011AD833" w:rsidR="005F1E50" w:rsidRDefault="005F1E50" w:rsidP="001F49A0">
            <w:pPr>
              <w:jc w:val="both"/>
              <w:rPr>
                <w:rFonts w:ascii="Arial" w:hAnsi="Arial" w:cs="Arial"/>
              </w:rPr>
            </w:pPr>
          </w:p>
          <w:p w14:paraId="26459969" w14:textId="4F3724DC" w:rsidR="00BC5B19" w:rsidRDefault="00BC5B19" w:rsidP="00D35C6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B19">
              <w:rPr>
                <w:rFonts w:ascii="Arial" w:hAnsi="Arial" w:cs="Arial"/>
                <w:sz w:val="22"/>
                <w:szCs w:val="22"/>
              </w:rPr>
              <w:t xml:space="preserve">Zhang CZ,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Cheng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XQ, Li JY, Zhang P, Yi P,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Xu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X,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Zhou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XD. Saliva in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diagnosis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diseases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J Oral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Sci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. 2016 </w:t>
            </w:r>
            <w:proofErr w:type="spellStart"/>
            <w:r w:rsidRPr="00BC5B19">
              <w:rPr>
                <w:rFonts w:ascii="Arial" w:hAnsi="Arial" w:cs="Arial"/>
                <w:sz w:val="22"/>
                <w:szCs w:val="22"/>
              </w:rPr>
              <w:t>Sep</w:t>
            </w:r>
            <w:proofErr w:type="spellEnd"/>
            <w:r w:rsidRPr="00BC5B19">
              <w:rPr>
                <w:rFonts w:ascii="Arial" w:hAnsi="Arial" w:cs="Arial"/>
                <w:sz w:val="22"/>
                <w:szCs w:val="22"/>
              </w:rPr>
              <w:t xml:space="preserve"> 29;8(3):133-7. </w:t>
            </w:r>
            <w:proofErr w:type="spellStart"/>
            <w:proofErr w:type="gramStart"/>
            <w:r w:rsidRPr="00BC5B19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proofErr w:type="gramEnd"/>
            <w:r w:rsidRPr="00BC5B19">
              <w:rPr>
                <w:rFonts w:ascii="Arial" w:hAnsi="Arial" w:cs="Arial"/>
                <w:sz w:val="22"/>
                <w:szCs w:val="22"/>
              </w:rPr>
              <w:t>: 10.1038/ijos.2016.38. PMID: 27585820; PMCID: PMC5113094.</w:t>
            </w:r>
          </w:p>
          <w:p w14:paraId="0CE20DF0" w14:textId="77777777" w:rsidR="00D35C69" w:rsidRPr="00D35C69" w:rsidRDefault="00D35C69" w:rsidP="00D35C69">
            <w:pPr>
              <w:pStyle w:val="PargrafodaLista"/>
              <w:rPr>
                <w:rFonts w:ascii="Arial" w:hAnsi="Arial" w:cs="Arial"/>
                <w:sz w:val="22"/>
                <w:szCs w:val="22"/>
              </w:rPr>
            </w:pPr>
          </w:p>
          <w:p w14:paraId="7A692053" w14:textId="77777777" w:rsidR="00D35C69" w:rsidRDefault="00D35C69" w:rsidP="00D35C6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5BE">
              <w:rPr>
                <w:rFonts w:ascii="Arial" w:hAnsi="Arial" w:cs="Arial"/>
                <w:sz w:val="22"/>
                <w:szCs w:val="22"/>
              </w:rPr>
              <w:t xml:space="preserve">Khan M,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Adil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SF,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Alkhathlan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HZ,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Tahir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MN,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Saif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S, Khan M, Khan ST. COVID-19: A Global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Challenge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Old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Epidemiology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Progress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So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Far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Molecules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. 2020 </w:t>
            </w:r>
            <w:proofErr w:type="spellStart"/>
            <w:r w:rsidRPr="006725BE">
              <w:rPr>
                <w:rFonts w:ascii="Arial" w:hAnsi="Arial" w:cs="Arial"/>
                <w:sz w:val="22"/>
                <w:szCs w:val="22"/>
              </w:rPr>
              <w:t>Dec</w:t>
            </w:r>
            <w:proofErr w:type="spellEnd"/>
            <w:r w:rsidRPr="006725BE">
              <w:rPr>
                <w:rFonts w:ascii="Arial" w:hAnsi="Arial" w:cs="Arial"/>
                <w:sz w:val="22"/>
                <w:szCs w:val="22"/>
              </w:rPr>
              <w:t xml:space="preserve"> 23;26(1):39. </w:t>
            </w:r>
            <w:proofErr w:type="spellStart"/>
            <w:proofErr w:type="gramStart"/>
            <w:r w:rsidRPr="006725BE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proofErr w:type="gramEnd"/>
            <w:r w:rsidRPr="006725BE">
              <w:rPr>
                <w:rFonts w:ascii="Arial" w:hAnsi="Arial" w:cs="Arial"/>
                <w:sz w:val="22"/>
                <w:szCs w:val="22"/>
              </w:rPr>
              <w:t>: 10.3390/molecules26010039. PMID: 33374759; PMCID: PMC7795815.</w:t>
            </w:r>
          </w:p>
          <w:p w14:paraId="118DEDA2" w14:textId="77777777" w:rsidR="00D35C69" w:rsidRPr="00BC5B19" w:rsidRDefault="00D35C69" w:rsidP="00D35C69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82BB88" w14:textId="78615E8B" w:rsidR="00BC5B19" w:rsidRDefault="00BC5B19" w:rsidP="001F49A0">
            <w:pPr>
              <w:jc w:val="both"/>
              <w:rPr>
                <w:rFonts w:ascii="Arial" w:hAnsi="Arial" w:cs="Arial"/>
              </w:rPr>
            </w:pPr>
          </w:p>
          <w:p w14:paraId="44BDDF55" w14:textId="77777777" w:rsidR="00BC5B19" w:rsidRPr="00BC5B19" w:rsidRDefault="00BC5B19" w:rsidP="00BC5B19">
            <w:pPr>
              <w:shd w:val="clear" w:color="auto" w:fill="FFFFFF"/>
              <w:rPr>
                <w:rFonts w:ascii="Helvetica" w:hAnsi="Helvetica"/>
                <w:color w:val="1D2228"/>
                <w:sz w:val="15"/>
                <w:szCs w:val="15"/>
                <w:highlight w:val="yellow"/>
              </w:rPr>
            </w:pPr>
          </w:p>
          <w:p w14:paraId="4A74EA5D" w14:textId="77777777" w:rsidR="00BC5B19" w:rsidRDefault="00BC5B19" w:rsidP="001F49A0">
            <w:pPr>
              <w:jc w:val="both"/>
              <w:rPr>
                <w:rFonts w:ascii="Arial" w:hAnsi="Arial" w:cs="Arial"/>
              </w:rPr>
            </w:pPr>
          </w:p>
          <w:p w14:paraId="776049D3" w14:textId="77777777" w:rsidR="005F1E50" w:rsidRPr="001A4FF9" w:rsidRDefault="005F1E50" w:rsidP="001F49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025500" w14:textId="77777777" w:rsidR="006205BE" w:rsidRDefault="006205BE"/>
    <w:sectPr w:rsidR="006205BE" w:rsidSect="00F1503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A38"/>
    <w:multiLevelType w:val="hybridMultilevel"/>
    <w:tmpl w:val="9226200E"/>
    <w:lvl w:ilvl="0" w:tplc="D430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253D"/>
    <w:multiLevelType w:val="hybridMultilevel"/>
    <w:tmpl w:val="FC6AF2A6"/>
    <w:lvl w:ilvl="0" w:tplc="C9321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796"/>
    <w:multiLevelType w:val="hybridMultilevel"/>
    <w:tmpl w:val="C4B27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2B68"/>
    <w:multiLevelType w:val="hybridMultilevel"/>
    <w:tmpl w:val="FA764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04F51"/>
    <w:multiLevelType w:val="hybridMultilevel"/>
    <w:tmpl w:val="1556E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6189"/>
    <w:multiLevelType w:val="hybridMultilevel"/>
    <w:tmpl w:val="205E1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79C7"/>
    <w:multiLevelType w:val="hybridMultilevel"/>
    <w:tmpl w:val="455A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81C52"/>
    <w:multiLevelType w:val="hybridMultilevel"/>
    <w:tmpl w:val="F25C6520"/>
    <w:lvl w:ilvl="0" w:tplc="464E9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C5324"/>
    <w:multiLevelType w:val="hybridMultilevel"/>
    <w:tmpl w:val="1556E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0CD8"/>
    <w:multiLevelType w:val="hybridMultilevel"/>
    <w:tmpl w:val="1556E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F3124"/>
    <w:multiLevelType w:val="hybridMultilevel"/>
    <w:tmpl w:val="C4F22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1B80"/>
    <w:multiLevelType w:val="hybridMultilevel"/>
    <w:tmpl w:val="79AC5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533C2"/>
    <w:multiLevelType w:val="hybridMultilevel"/>
    <w:tmpl w:val="BC12A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BE"/>
    <w:rsid w:val="000B76A0"/>
    <w:rsid w:val="00166AEF"/>
    <w:rsid w:val="001A4FF9"/>
    <w:rsid w:val="0028547F"/>
    <w:rsid w:val="002D4974"/>
    <w:rsid w:val="00445935"/>
    <w:rsid w:val="004C0E0F"/>
    <w:rsid w:val="005F1E50"/>
    <w:rsid w:val="006205BE"/>
    <w:rsid w:val="00730DB4"/>
    <w:rsid w:val="007E5984"/>
    <w:rsid w:val="00A66C1D"/>
    <w:rsid w:val="00BC5B19"/>
    <w:rsid w:val="00D35C69"/>
    <w:rsid w:val="00E47313"/>
    <w:rsid w:val="00F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E2CE8"/>
  <w15:docId w15:val="{D9D5F099-E3F0-4E0D-8D3F-C4C8BD6A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5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2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F150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UNITAU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DUARTE</dc:creator>
  <cp:keywords/>
  <dc:description/>
  <cp:lastModifiedBy>Windows User</cp:lastModifiedBy>
  <cp:revision>2</cp:revision>
  <dcterms:created xsi:type="dcterms:W3CDTF">2021-06-07T19:20:00Z</dcterms:created>
  <dcterms:modified xsi:type="dcterms:W3CDTF">2021-06-07T19:20:00Z</dcterms:modified>
</cp:coreProperties>
</file>